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E0" w:rsidRPr="003137FE" w:rsidRDefault="007413ED" w:rsidP="001D62E4">
      <w:pPr>
        <w:jc w:val="center"/>
        <w:rPr>
          <w:rFonts w:ascii="Times New Roman" w:hAnsi="Times New Roman"/>
          <w:b/>
          <w:sz w:val="28"/>
          <w:szCs w:val="28"/>
        </w:rPr>
      </w:pPr>
      <w:r w:rsidRPr="003137FE">
        <w:rPr>
          <w:rFonts w:ascii="Times New Roman" w:hAnsi="Times New Roman"/>
          <w:b/>
          <w:sz w:val="28"/>
          <w:szCs w:val="28"/>
        </w:rPr>
        <w:t xml:space="preserve">NỘI DUNG </w:t>
      </w:r>
      <w:r w:rsidR="00DB4AE9" w:rsidRPr="003137FE">
        <w:rPr>
          <w:rFonts w:ascii="Times New Roman" w:hAnsi="Times New Roman"/>
          <w:b/>
          <w:sz w:val="28"/>
          <w:szCs w:val="28"/>
        </w:rPr>
        <w:t>DỰ</w:t>
      </w:r>
      <w:r w:rsidR="00DB4AE9" w:rsidRPr="003137FE">
        <w:rPr>
          <w:rFonts w:ascii="Times New Roman" w:hAnsi="Times New Roman"/>
          <w:b/>
          <w:sz w:val="28"/>
          <w:szCs w:val="28"/>
          <w:lang w:val="vi-VN"/>
        </w:rPr>
        <w:t xml:space="preserve"> THẢO </w:t>
      </w:r>
      <w:r w:rsidRPr="003137FE">
        <w:rPr>
          <w:rFonts w:ascii="Times New Roman" w:hAnsi="Times New Roman"/>
          <w:b/>
          <w:sz w:val="28"/>
          <w:szCs w:val="28"/>
        </w:rPr>
        <w:t>SỬA ĐỔI</w:t>
      </w:r>
      <w:r w:rsidR="00586F3E" w:rsidRPr="003137FE">
        <w:rPr>
          <w:rFonts w:ascii="Times New Roman" w:hAnsi="Times New Roman"/>
          <w:b/>
          <w:sz w:val="28"/>
          <w:szCs w:val="28"/>
          <w:lang w:val="vi-VN"/>
        </w:rPr>
        <w:t>, BỔ SUNG</w:t>
      </w:r>
      <w:bookmarkStart w:id="0" w:name="_GoBack"/>
      <w:bookmarkEnd w:id="0"/>
      <w:r w:rsidRPr="003137FE">
        <w:rPr>
          <w:rFonts w:ascii="Times New Roman" w:hAnsi="Times New Roman"/>
          <w:b/>
          <w:sz w:val="28"/>
          <w:szCs w:val="28"/>
        </w:rPr>
        <w:t xml:space="preserve"> </w:t>
      </w:r>
      <w:r w:rsidR="000A1EE0" w:rsidRPr="003137FE">
        <w:rPr>
          <w:rFonts w:ascii="Times New Roman" w:hAnsi="Times New Roman"/>
          <w:b/>
          <w:sz w:val="28"/>
          <w:szCs w:val="28"/>
        </w:rPr>
        <w:t xml:space="preserve">PHẦN </w:t>
      </w:r>
      <w:r w:rsidR="00B92B3F" w:rsidRPr="003137FE">
        <w:rPr>
          <w:rFonts w:ascii="Times New Roman" w:hAnsi="Times New Roman"/>
          <w:b/>
          <w:sz w:val="28"/>
          <w:szCs w:val="28"/>
        </w:rPr>
        <w:t>1</w:t>
      </w:r>
      <w:r w:rsidR="0025000A" w:rsidRPr="003137FE">
        <w:rPr>
          <w:rFonts w:ascii="Times New Roman" w:hAnsi="Times New Roman"/>
          <w:b/>
          <w:sz w:val="28"/>
          <w:szCs w:val="28"/>
        </w:rPr>
        <w:t>0</w:t>
      </w:r>
      <w:r w:rsidR="000A1EE0" w:rsidRPr="003137FE">
        <w:rPr>
          <w:rFonts w:ascii="Times New Roman" w:hAnsi="Times New Roman"/>
          <w:b/>
          <w:sz w:val="28"/>
          <w:szCs w:val="28"/>
        </w:rPr>
        <w:t xml:space="preserve"> </w:t>
      </w:r>
      <w:r w:rsidR="0071431D" w:rsidRPr="003137FE">
        <w:rPr>
          <w:rFonts w:ascii="Times New Roman" w:hAnsi="Times New Roman"/>
          <w:b/>
          <w:sz w:val="28"/>
          <w:szCs w:val="28"/>
        </w:rPr>
        <w:t>CỦA</w:t>
      </w:r>
      <w:r w:rsidR="001D62E4" w:rsidRPr="003137FE">
        <w:rPr>
          <w:rFonts w:ascii="Times New Roman" w:hAnsi="Times New Roman"/>
          <w:b/>
          <w:sz w:val="28"/>
          <w:szCs w:val="28"/>
        </w:rPr>
        <w:t xml:space="preserve"> B</w:t>
      </w:r>
      <w:r w:rsidR="0071431D" w:rsidRPr="003137FE">
        <w:rPr>
          <w:rFonts w:ascii="Times New Roman" w:hAnsi="Times New Roman"/>
          <w:b/>
          <w:sz w:val="28"/>
          <w:szCs w:val="28"/>
        </w:rPr>
        <w:t>Ộ</w:t>
      </w:r>
      <w:r w:rsidR="001D62E4" w:rsidRPr="003137FE">
        <w:rPr>
          <w:rFonts w:ascii="Times New Roman" w:hAnsi="Times New Roman"/>
          <w:b/>
          <w:sz w:val="28"/>
          <w:szCs w:val="28"/>
        </w:rPr>
        <w:t xml:space="preserve"> QCATHK</w:t>
      </w:r>
    </w:p>
    <w:p w:rsidR="00333113" w:rsidRPr="003137FE" w:rsidRDefault="00333113" w:rsidP="001D62E4">
      <w:pPr>
        <w:jc w:val="center"/>
        <w:rPr>
          <w:rFonts w:ascii="Times New Roman" w:hAnsi="Times New Roman"/>
          <w:b/>
          <w:sz w:val="28"/>
          <w:szCs w:val="28"/>
        </w:rPr>
      </w:pPr>
    </w:p>
    <w:tbl>
      <w:tblPr>
        <w:tblStyle w:val="TableGrid"/>
        <w:tblW w:w="14824" w:type="dxa"/>
        <w:tblLook w:val="04A0"/>
      </w:tblPr>
      <w:tblGrid>
        <w:gridCol w:w="901"/>
        <w:gridCol w:w="1711"/>
        <w:gridCol w:w="10626"/>
        <w:gridCol w:w="1586"/>
      </w:tblGrid>
      <w:tr w:rsidR="000A1EE0" w:rsidRPr="003137FE" w:rsidTr="00333113">
        <w:trPr>
          <w:trHeight w:val="473"/>
        </w:trPr>
        <w:tc>
          <w:tcPr>
            <w:tcW w:w="901" w:type="dxa"/>
          </w:tcPr>
          <w:p w:rsidR="000A1EE0" w:rsidRPr="003137FE" w:rsidRDefault="000A1EE0" w:rsidP="00BC6D88">
            <w:pPr>
              <w:jc w:val="center"/>
              <w:rPr>
                <w:rFonts w:ascii="Times New Roman" w:hAnsi="Times New Roman"/>
                <w:b/>
                <w:sz w:val="28"/>
                <w:szCs w:val="28"/>
                <w:lang w:val="vi-VN"/>
              </w:rPr>
            </w:pPr>
            <w:r w:rsidRPr="003137FE">
              <w:rPr>
                <w:rFonts w:ascii="Times New Roman" w:hAnsi="Times New Roman"/>
                <w:b/>
                <w:sz w:val="28"/>
                <w:szCs w:val="28"/>
                <w:lang w:val="vi-VN"/>
              </w:rPr>
              <w:t>Ghi chú</w:t>
            </w:r>
          </w:p>
        </w:tc>
        <w:tc>
          <w:tcPr>
            <w:tcW w:w="1711" w:type="dxa"/>
          </w:tcPr>
          <w:p w:rsidR="000A1EE0" w:rsidRPr="003137FE" w:rsidRDefault="000A1EE0" w:rsidP="00BC6D88">
            <w:pPr>
              <w:jc w:val="center"/>
              <w:rPr>
                <w:rFonts w:ascii="Times New Roman" w:hAnsi="Times New Roman"/>
                <w:b/>
                <w:sz w:val="28"/>
                <w:szCs w:val="28"/>
                <w:lang w:val="vi-VN"/>
              </w:rPr>
            </w:pPr>
            <w:r w:rsidRPr="003137FE">
              <w:rPr>
                <w:rFonts w:ascii="Times New Roman" w:hAnsi="Times New Roman"/>
                <w:b/>
                <w:sz w:val="28"/>
                <w:szCs w:val="28"/>
                <w:lang w:val="vi-VN"/>
              </w:rPr>
              <w:t>Nội dung Bộ QCATHK (TT01 và 03)</w:t>
            </w:r>
          </w:p>
        </w:tc>
        <w:tc>
          <w:tcPr>
            <w:tcW w:w="10626" w:type="dxa"/>
          </w:tcPr>
          <w:p w:rsidR="000A1EE0" w:rsidRPr="003137FE" w:rsidRDefault="000A1EE0" w:rsidP="00BC6D88">
            <w:pPr>
              <w:jc w:val="center"/>
              <w:rPr>
                <w:rFonts w:ascii="Times New Roman" w:hAnsi="Times New Roman"/>
                <w:b/>
                <w:sz w:val="28"/>
                <w:szCs w:val="28"/>
                <w:lang w:val="vi-VN"/>
              </w:rPr>
            </w:pPr>
            <w:r w:rsidRPr="003137FE">
              <w:rPr>
                <w:rFonts w:ascii="Times New Roman" w:hAnsi="Times New Roman"/>
                <w:b/>
                <w:sz w:val="28"/>
                <w:szCs w:val="28"/>
                <w:lang w:val="vi-VN"/>
              </w:rPr>
              <w:t xml:space="preserve">Nội dung đề nghị </w:t>
            </w:r>
            <w:r w:rsidR="00B92B3F" w:rsidRPr="003137FE">
              <w:rPr>
                <w:rFonts w:ascii="Times New Roman" w:hAnsi="Times New Roman"/>
                <w:b/>
                <w:sz w:val="28"/>
                <w:szCs w:val="28"/>
              </w:rPr>
              <w:t xml:space="preserve">bổ sung, </w:t>
            </w:r>
            <w:r w:rsidRPr="003137FE">
              <w:rPr>
                <w:rFonts w:ascii="Times New Roman" w:hAnsi="Times New Roman"/>
                <w:b/>
                <w:sz w:val="28"/>
                <w:szCs w:val="28"/>
                <w:lang w:val="vi-VN"/>
              </w:rPr>
              <w:t>sửa đổi</w:t>
            </w:r>
          </w:p>
        </w:tc>
        <w:tc>
          <w:tcPr>
            <w:tcW w:w="1586" w:type="dxa"/>
          </w:tcPr>
          <w:p w:rsidR="000A1EE0" w:rsidRPr="003137FE" w:rsidRDefault="000A1EE0" w:rsidP="00BC6D88">
            <w:pPr>
              <w:jc w:val="center"/>
              <w:rPr>
                <w:rFonts w:ascii="Times New Roman" w:hAnsi="Times New Roman"/>
                <w:b/>
                <w:sz w:val="28"/>
                <w:szCs w:val="28"/>
              </w:rPr>
            </w:pPr>
            <w:r w:rsidRPr="003137FE">
              <w:rPr>
                <w:rFonts w:ascii="Times New Roman" w:hAnsi="Times New Roman"/>
                <w:b/>
                <w:sz w:val="28"/>
                <w:szCs w:val="28"/>
              </w:rPr>
              <w:t>Lý do sửa đổi</w:t>
            </w:r>
          </w:p>
        </w:tc>
      </w:tr>
      <w:tr w:rsidR="000A1EE0" w:rsidRPr="003137FE" w:rsidTr="00333113">
        <w:trPr>
          <w:trHeight w:val="473"/>
        </w:trPr>
        <w:tc>
          <w:tcPr>
            <w:tcW w:w="901" w:type="dxa"/>
          </w:tcPr>
          <w:p w:rsidR="000A1EE0" w:rsidRPr="003137FE" w:rsidRDefault="000A1EE0" w:rsidP="00D43F69">
            <w:pPr>
              <w:widowControl w:val="0"/>
              <w:autoSpaceDE w:val="0"/>
              <w:autoSpaceDN w:val="0"/>
              <w:adjustRightInd w:val="0"/>
              <w:ind w:right="-97"/>
              <w:jc w:val="both"/>
              <w:rPr>
                <w:rFonts w:ascii="Times New Roman" w:hAnsi="Times New Roman"/>
                <w:sz w:val="28"/>
                <w:szCs w:val="28"/>
              </w:rPr>
            </w:pPr>
            <w:r w:rsidRPr="003137FE">
              <w:rPr>
                <w:rFonts w:ascii="Times New Roman" w:hAnsi="Times New Roman"/>
                <w:sz w:val="28"/>
                <w:szCs w:val="28"/>
              </w:rPr>
              <w:t>Thông tư 0</w:t>
            </w:r>
            <w:r w:rsidR="00D43F69" w:rsidRPr="003137FE">
              <w:rPr>
                <w:rFonts w:ascii="Times New Roman" w:hAnsi="Times New Roman"/>
                <w:sz w:val="28"/>
                <w:szCs w:val="28"/>
              </w:rPr>
              <w:t>1</w:t>
            </w:r>
          </w:p>
        </w:tc>
        <w:tc>
          <w:tcPr>
            <w:tcW w:w="1711" w:type="dxa"/>
          </w:tcPr>
          <w:p w:rsidR="007D1268" w:rsidRPr="003137FE" w:rsidRDefault="007D1268" w:rsidP="00BC6D88">
            <w:pPr>
              <w:widowControl w:val="0"/>
              <w:autoSpaceDE w:val="0"/>
              <w:autoSpaceDN w:val="0"/>
              <w:adjustRightInd w:val="0"/>
              <w:spacing w:after="240" w:line="340" w:lineRule="atLeast"/>
              <w:rPr>
                <w:rFonts w:ascii="Times" w:eastAsiaTheme="minorHAnsi" w:hAnsi="Times" w:cs="Times"/>
                <w:sz w:val="28"/>
                <w:szCs w:val="28"/>
              </w:rPr>
            </w:pPr>
          </w:p>
          <w:p w:rsidR="000A1EE0" w:rsidRPr="003137FE" w:rsidRDefault="007D1268" w:rsidP="007D1268">
            <w:pPr>
              <w:jc w:val="center"/>
              <w:rPr>
                <w:rFonts w:ascii="Times" w:eastAsiaTheme="minorHAnsi" w:hAnsi="Times" w:cs="Times"/>
                <w:sz w:val="28"/>
                <w:szCs w:val="28"/>
              </w:rPr>
            </w:pPr>
            <w:r w:rsidRPr="003137FE">
              <w:rPr>
                <w:rFonts w:ascii="Times" w:eastAsiaTheme="minorHAnsi" w:hAnsi="Times" w:cs="Times"/>
                <w:sz w:val="28"/>
                <w:szCs w:val="28"/>
              </w:rPr>
              <w:t>Chưa có</w:t>
            </w:r>
          </w:p>
        </w:tc>
        <w:tc>
          <w:tcPr>
            <w:tcW w:w="10626" w:type="dxa"/>
          </w:tcPr>
          <w:p w:rsidR="000A1EE0" w:rsidRPr="003137FE" w:rsidRDefault="00D43F69" w:rsidP="00A844DD">
            <w:pPr>
              <w:pStyle w:val="StyleHeading213ptJustifiedBefore0ptAfter0pt"/>
            </w:pPr>
            <w:r w:rsidRPr="003137FE">
              <w:drawing>
                <wp:inline distT="0" distB="0" distL="0" distR="0">
                  <wp:extent cx="65151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15100" cy="1857375"/>
                          </a:xfrm>
                          <a:prstGeom prst="rect">
                            <a:avLst/>
                          </a:prstGeom>
                          <a:noFill/>
                          <a:ln w="9525">
                            <a:noFill/>
                            <a:miter lim="800000"/>
                            <a:headEnd/>
                            <a:tailEnd/>
                          </a:ln>
                        </pic:spPr>
                      </pic:pic>
                    </a:graphicData>
                  </a:graphic>
                </wp:inline>
              </w:drawing>
            </w:r>
          </w:p>
          <w:p w:rsidR="0075305F" w:rsidRPr="003137FE" w:rsidRDefault="007D1268" w:rsidP="00A844DD">
            <w:pPr>
              <w:pStyle w:val="StyleHeading213ptJustifiedBefore0ptAfter0pt"/>
            </w:pPr>
            <w:r w:rsidRPr="003137FE">
              <w:t xml:space="preserve">10.381 </w:t>
            </w:r>
            <w:r w:rsidR="0075305F" w:rsidRPr="003137FE">
              <w:t xml:space="preserve">REQUIRED AIRSPACE FOR SAFE OPERATION </w:t>
            </w:r>
          </w:p>
          <w:p w:rsidR="007D1268" w:rsidRPr="003137FE" w:rsidRDefault="0075305F" w:rsidP="00A844DD">
            <w:pPr>
              <w:pStyle w:val="StyleHeading213ptJustifiedBefore0ptAfter0pt"/>
            </w:pPr>
            <w:r w:rsidRPr="003137FE">
              <w:t>The operator shall ensure that a flight will not commence or continue as planned unless it has</w:t>
            </w:r>
            <w:r w:rsidRPr="003137FE">
              <w:rPr>
                <w:rFonts w:ascii="Calibri" w:hAnsi="Calibri"/>
                <w:szCs w:val="22"/>
              </w:rPr>
              <w:br/>
            </w:r>
            <w:r w:rsidRPr="003137FE">
              <w:t>been ascertained by every reasonable means available that the airspace containing the intended route from</w:t>
            </w:r>
            <w:r w:rsidR="002B32F4" w:rsidRPr="003137FE">
              <w:t xml:space="preserve"> </w:t>
            </w:r>
            <w:r w:rsidRPr="003137FE">
              <w:t>aerodrome of departure to aerodrome of arrival, including the intended take-off, destination and en-route</w:t>
            </w:r>
            <w:r w:rsidR="002B32F4" w:rsidRPr="003137FE">
              <w:t xml:space="preserve"> </w:t>
            </w:r>
            <w:r w:rsidRPr="003137FE">
              <w:t>alternate aerodromes, can be safely used for the planned operation. When intending to operate over or</w:t>
            </w:r>
            <w:r w:rsidR="002B32F4" w:rsidRPr="003137FE">
              <w:t xml:space="preserve"> </w:t>
            </w:r>
            <w:r w:rsidRPr="003137FE">
              <w:t>near conflict zones, a risk assessment shall be conducted and appropriate risk mitigation measures taken</w:t>
            </w:r>
            <w:r w:rsidR="002B32F4" w:rsidRPr="003137FE">
              <w:t xml:space="preserve"> </w:t>
            </w:r>
            <w:r w:rsidRPr="003137FE">
              <w:t>to ensure a safe fligh</w:t>
            </w:r>
            <w:r w:rsidR="002B32F4" w:rsidRPr="003137FE">
              <w:t>t</w:t>
            </w:r>
          </w:p>
          <w:p w:rsidR="00F47B53" w:rsidRPr="003137FE" w:rsidRDefault="00F47B53" w:rsidP="00A844DD">
            <w:pPr>
              <w:pStyle w:val="StyleHeading213ptJustifiedBefore0ptAfter0pt"/>
            </w:pPr>
          </w:p>
          <w:p w:rsidR="002B32F4" w:rsidRPr="003137FE" w:rsidRDefault="00A94E35" w:rsidP="00A844DD">
            <w:pPr>
              <w:pStyle w:val="StyleHeading213ptJustifiedBefore0ptAfter0pt"/>
            </w:pPr>
            <w:r w:rsidRPr="003137FE">
              <w:t>Bổ sung Điều 10.381 như sau:</w:t>
            </w:r>
          </w:p>
          <w:p w:rsidR="00A844DD" w:rsidRPr="003137FE" w:rsidRDefault="002B32F4" w:rsidP="00A844DD">
            <w:pPr>
              <w:pStyle w:val="StyleHeading213ptJustifiedBefore0ptAfter0pt"/>
            </w:pPr>
            <w:r w:rsidRPr="003137FE">
              <w:t>10.381 YÊU CẦU VỀ KHÔNG PHẬN ĐẢM BẢO HOẠT ĐỘNG BAY AN TOÀN</w:t>
            </w:r>
          </w:p>
          <w:p w:rsidR="002B32F4" w:rsidRPr="003137FE" w:rsidRDefault="001A38FC" w:rsidP="00A844DD">
            <w:pPr>
              <w:pStyle w:val="StyleHeading213ptJustifiedBefore0ptAfter0pt"/>
            </w:pPr>
            <w:r w:rsidRPr="003137FE">
              <w:t>Người khai thác tàu bay phải đảm bảo rằng một chuyến bay sẽ không bắt đầu hoặc tiếp tục như kế hoạch trừ khi thông qua mọi phương tiện hợp lý có sẵn chắc chắn  rằng không phận chứa tuyến đường dự định từ sân bay khởi hành đến sân bay đến, bao gồm cả sân bay dự định cất cánh, sân bay điểm đến và sân bay dự bị trên đường bay có thể được sử dụng một cách an toàn cho hoạt động theo kế hoạch. Khi có ý định hoạt động trên hoặc gần các khu vực xung đột, người khai thác tàu bay phải tiến hành đánh giá rủi ro và thực hiện các biện pháp giảm thiểu rủi ro thích hợp để đảm bảo chuyến bay an toàn.</w:t>
            </w:r>
          </w:p>
        </w:tc>
        <w:tc>
          <w:tcPr>
            <w:tcW w:w="1586" w:type="dxa"/>
          </w:tcPr>
          <w:p w:rsidR="00D43F69" w:rsidRPr="003137FE" w:rsidRDefault="00D43F69" w:rsidP="00A844DD">
            <w:pPr>
              <w:pStyle w:val="StyleHeading213ptJustifiedBefore0ptAfter0pt"/>
              <w:rPr>
                <w:sz w:val="24"/>
                <w:szCs w:val="24"/>
              </w:rPr>
            </w:pPr>
            <w:r w:rsidRPr="003137FE">
              <w:lastRenderedPageBreak/>
              <w:t xml:space="preserve">Bổ sung quy định từ ICAO State Letter </w:t>
            </w:r>
            <w:r w:rsidRPr="003137FE">
              <w:rPr>
                <w:rStyle w:val="fontstyle01"/>
                <w:color w:val="auto"/>
                <w:sz w:val="28"/>
                <w:szCs w:val="28"/>
              </w:rPr>
              <w:t>AN 11/1.3.32-20/18</w:t>
            </w:r>
          </w:p>
          <w:p w:rsidR="000A1EE0" w:rsidRPr="003137FE" w:rsidRDefault="000A1EE0" w:rsidP="00A844DD">
            <w:pPr>
              <w:pStyle w:val="StyleHeading213ptJustifiedBefore0ptAfter0pt"/>
            </w:pPr>
          </w:p>
        </w:tc>
      </w:tr>
      <w:tr w:rsidR="00B31EBF" w:rsidRPr="003137FE" w:rsidTr="00333113">
        <w:trPr>
          <w:trHeight w:val="473"/>
        </w:trPr>
        <w:tc>
          <w:tcPr>
            <w:tcW w:w="901" w:type="dxa"/>
          </w:tcPr>
          <w:p w:rsidR="00B31EBF" w:rsidRPr="003137FE" w:rsidRDefault="00B31EBF" w:rsidP="00CE080D">
            <w:pPr>
              <w:widowControl w:val="0"/>
              <w:autoSpaceDE w:val="0"/>
              <w:autoSpaceDN w:val="0"/>
              <w:adjustRightInd w:val="0"/>
              <w:ind w:right="-97"/>
              <w:jc w:val="both"/>
              <w:rPr>
                <w:rFonts w:ascii="Times New Roman" w:hAnsi="Times New Roman"/>
                <w:sz w:val="28"/>
                <w:szCs w:val="28"/>
              </w:rPr>
            </w:pPr>
            <w:r w:rsidRPr="003137FE">
              <w:rPr>
                <w:rFonts w:ascii="Times New Roman" w:hAnsi="Times New Roman"/>
                <w:sz w:val="28"/>
                <w:szCs w:val="28"/>
              </w:rPr>
              <w:lastRenderedPageBreak/>
              <w:t>Thông tư 01</w:t>
            </w:r>
          </w:p>
        </w:tc>
        <w:tc>
          <w:tcPr>
            <w:tcW w:w="1711" w:type="dxa"/>
          </w:tcPr>
          <w:p w:rsidR="00B31EBF" w:rsidRPr="003137FE" w:rsidRDefault="00B31EBF" w:rsidP="00CE080D">
            <w:pPr>
              <w:widowControl w:val="0"/>
              <w:autoSpaceDE w:val="0"/>
              <w:autoSpaceDN w:val="0"/>
              <w:adjustRightInd w:val="0"/>
              <w:spacing w:after="240" w:line="340" w:lineRule="atLeast"/>
              <w:rPr>
                <w:rFonts w:ascii="Times" w:eastAsiaTheme="minorHAnsi" w:hAnsi="Times" w:cs="Times"/>
                <w:sz w:val="28"/>
                <w:szCs w:val="28"/>
              </w:rPr>
            </w:pPr>
          </w:p>
          <w:p w:rsidR="00B31EBF" w:rsidRPr="003137FE" w:rsidRDefault="00B31EBF" w:rsidP="00CE080D">
            <w:pPr>
              <w:jc w:val="center"/>
              <w:rPr>
                <w:rFonts w:ascii="Times" w:eastAsiaTheme="minorHAnsi" w:hAnsi="Times" w:cs="Times"/>
                <w:sz w:val="28"/>
                <w:szCs w:val="28"/>
              </w:rPr>
            </w:pPr>
            <w:r w:rsidRPr="003137FE">
              <w:rPr>
                <w:rFonts w:ascii="Times" w:eastAsiaTheme="minorHAnsi" w:hAnsi="Times" w:cs="Times"/>
                <w:sz w:val="28"/>
                <w:szCs w:val="28"/>
              </w:rPr>
              <w:t>Chưa có</w:t>
            </w:r>
          </w:p>
        </w:tc>
        <w:tc>
          <w:tcPr>
            <w:tcW w:w="10626" w:type="dxa"/>
          </w:tcPr>
          <w:p w:rsidR="00171EBC" w:rsidRPr="003137FE" w:rsidRDefault="00171EBC" w:rsidP="00A844DD">
            <w:pPr>
              <w:pStyle w:val="StyleHeading213ptJustifiedBefore0ptAfter0pt"/>
            </w:pPr>
            <w:r w:rsidRPr="003137FE">
              <w:drawing>
                <wp:inline distT="0" distB="0" distL="0" distR="0">
                  <wp:extent cx="5903383" cy="2788505"/>
                  <wp:effectExtent l="19050" t="0" r="2117"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903383" cy="2788505"/>
                          </a:xfrm>
                          <a:prstGeom prst="rect">
                            <a:avLst/>
                          </a:prstGeom>
                          <a:noFill/>
                          <a:ln w="9525">
                            <a:noFill/>
                            <a:miter lim="800000"/>
                            <a:headEnd/>
                            <a:tailEnd/>
                          </a:ln>
                        </pic:spPr>
                      </pic:pic>
                    </a:graphicData>
                  </a:graphic>
                </wp:inline>
              </w:drawing>
            </w:r>
          </w:p>
          <w:p w:rsidR="00171EBC" w:rsidRPr="003137FE" w:rsidRDefault="00171EBC" w:rsidP="00A844DD">
            <w:pPr>
              <w:pStyle w:val="StyleHeading213ptJustifiedBefore0ptAfter0pt"/>
            </w:pPr>
            <w:r w:rsidRPr="003137FE">
              <w:lastRenderedPageBreak/>
              <w:drawing>
                <wp:inline distT="0" distB="0" distL="0" distR="0">
                  <wp:extent cx="6589183" cy="3112448"/>
                  <wp:effectExtent l="19050" t="0" r="2117"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6589183" cy="3112448"/>
                          </a:xfrm>
                          <a:prstGeom prst="rect">
                            <a:avLst/>
                          </a:prstGeom>
                          <a:noFill/>
                          <a:ln w="9525">
                            <a:noFill/>
                            <a:miter lim="800000"/>
                            <a:headEnd/>
                            <a:tailEnd/>
                          </a:ln>
                        </pic:spPr>
                      </pic:pic>
                    </a:graphicData>
                  </a:graphic>
                </wp:inline>
              </w:drawing>
            </w:r>
          </w:p>
          <w:p w:rsidR="00A94E35" w:rsidRPr="003137FE" w:rsidRDefault="00A94E35" w:rsidP="00A94E35">
            <w:pPr>
              <w:pStyle w:val="StyleHeading213ptJustifiedBefore0ptAfter0pt"/>
            </w:pPr>
            <w:r w:rsidRPr="003137FE">
              <w:t>Bổ sung Điều 10.037 như sau:</w:t>
            </w:r>
          </w:p>
          <w:p w:rsidR="00B31EBF" w:rsidRPr="003137FE" w:rsidRDefault="00171EBC" w:rsidP="00A844DD">
            <w:pPr>
              <w:pStyle w:val="StyleHeading213ptJustifiedBefore0ptAfter0pt"/>
            </w:pPr>
            <w:r w:rsidRPr="003137FE">
              <w:t>10.037 TÀU BAY HOẠT ĐỘNG THEO THỎA THUẬN</w:t>
            </w:r>
            <w:r w:rsidR="0000253D" w:rsidRPr="003137FE">
              <w:t xml:space="preserve"> ĐIỀU </w:t>
            </w:r>
            <w:r w:rsidRPr="003137FE">
              <w:t>83 BIS</w:t>
            </w:r>
          </w:p>
          <w:p w:rsidR="0048467C" w:rsidRPr="003137FE" w:rsidRDefault="0048467C" w:rsidP="00A844DD">
            <w:pPr>
              <w:pStyle w:val="StyleHeading213ptJustifiedBefore0ptAfter0pt"/>
              <w:rPr>
                <w:b/>
              </w:rPr>
            </w:pPr>
            <w:r w:rsidRPr="003137FE">
              <w:t xml:space="preserve">(a) </w:t>
            </w:r>
            <w:r w:rsidR="0000253D" w:rsidRPr="003137FE">
              <w:t>Tàu bay hoạt động theo thỏa thuận Điều 83 bis giữa Quốc gia đăng ký quốc tịch tàu bay và Quốc gia Người khai thác tàu bay phải mang theo bản sao</w:t>
            </w:r>
            <w:r w:rsidR="004730BF" w:rsidRPr="003137FE">
              <w:t xml:space="preserve"> có</w:t>
            </w:r>
            <w:r w:rsidR="0000253D" w:rsidRPr="003137FE">
              <w:t xml:space="preserve"> chứng thực Bản tóm tắt thỏa thuận ở định dạng điện tử hoặc dạng bản giấy. Khi Bản tóm tắt được cấp khác ngôn ngữ tiếng anh thì cần phải có bản dịch tiếng anh đi kèm. </w:t>
            </w:r>
          </w:p>
          <w:p w:rsidR="003A50D3" w:rsidRPr="003137FE" w:rsidRDefault="003A50D3" w:rsidP="00A844DD">
            <w:pPr>
              <w:pStyle w:val="StyleHeading213ptJustifiedBefore0ptAfter0pt"/>
              <w:rPr>
                <w:b/>
              </w:rPr>
            </w:pPr>
            <w:r w:rsidRPr="003137FE">
              <w:t xml:space="preserve">(b) </w:t>
            </w:r>
            <w:r w:rsidR="00CE1CD9" w:rsidRPr="003137FE">
              <w:t>Bản tóm tắt thỏa thuận Điều 83 bis phải được xuất trình tới Giám sát viên an toàn hàng không khi tiến hành kiểm tra tàu bay tại sân nhằm xác định các chức năng, thẩm quyền được chuyển giao theo thỏa thuận từ Quốc gia đăng ký quốc tịch tàu bay tới Quốc gia người khai thác tàu bay.</w:t>
            </w:r>
          </w:p>
          <w:p w:rsidR="002419B9" w:rsidRPr="003137FE" w:rsidRDefault="002419B9" w:rsidP="00A844DD">
            <w:pPr>
              <w:pStyle w:val="StyleHeading213ptJustifiedBefore0ptAfter0pt"/>
            </w:pPr>
            <w:r w:rsidRPr="003137FE">
              <w:lastRenderedPageBreak/>
              <w:t xml:space="preserve">(c) Quốc gia đăng ký quốc tịch tàu bay hoặc Quốc gia người khai thác tàu bay phải gửi Bản tóm tắt thỏa thuận cùng với Thỏa thuận Điều 83 bis </w:t>
            </w:r>
            <w:r w:rsidR="0057322E" w:rsidRPr="003137FE">
              <w:t xml:space="preserve">để đăng ký </w:t>
            </w:r>
            <w:r w:rsidRPr="003137FE">
              <w:t>tới Hội đồ</w:t>
            </w:r>
            <w:r w:rsidR="00965CBE" w:rsidRPr="003137FE">
              <w:t>ng ICAO.</w:t>
            </w:r>
          </w:p>
        </w:tc>
        <w:tc>
          <w:tcPr>
            <w:tcW w:w="1586" w:type="dxa"/>
          </w:tcPr>
          <w:p w:rsidR="00171EBC" w:rsidRPr="003137FE" w:rsidRDefault="00171EBC" w:rsidP="00A844DD">
            <w:pPr>
              <w:pStyle w:val="StyleHeading213ptJustifiedBefore0ptAfter0pt"/>
              <w:rPr>
                <w:sz w:val="24"/>
                <w:szCs w:val="24"/>
              </w:rPr>
            </w:pPr>
            <w:r w:rsidRPr="003137FE">
              <w:lastRenderedPageBreak/>
              <w:t xml:space="preserve">Bổ sung quy định từ ICAO State Letter </w:t>
            </w:r>
            <w:r w:rsidRPr="003137FE">
              <w:rPr>
                <w:rStyle w:val="fontstyle01"/>
                <w:color w:val="auto"/>
                <w:sz w:val="28"/>
                <w:szCs w:val="28"/>
              </w:rPr>
              <w:t>AN 11/1.3.32-20/18</w:t>
            </w:r>
          </w:p>
          <w:p w:rsidR="00B31EBF" w:rsidRPr="003137FE" w:rsidRDefault="00B31EBF" w:rsidP="00A844DD">
            <w:pPr>
              <w:pStyle w:val="StyleHeading213ptJustifiedBefore0ptAfter0pt"/>
            </w:pPr>
          </w:p>
        </w:tc>
      </w:tr>
    </w:tbl>
    <w:p w:rsidR="000A1EE0" w:rsidRPr="003137FE" w:rsidRDefault="000A1EE0"/>
    <w:p w:rsidR="00F40974" w:rsidRPr="003137FE" w:rsidRDefault="00836018">
      <w:r w:rsidRPr="003137FE">
        <w:t xml:space="preserve"> </w:t>
      </w:r>
    </w:p>
    <w:sectPr w:rsidR="00F40974" w:rsidRPr="003137FE" w:rsidSect="00EC32B2">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EC32B2"/>
    <w:rsid w:val="0000253D"/>
    <w:rsid w:val="00084130"/>
    <w:rsid w:val="000A1EE0"/>
    <w:rsid w:val="000B19CE"/>
    <w:rsid w:val="00171EBC"/>
    <w:rsid w:val="001A38FC"/>
    <w:rsid w:val="001B66B0"/>
    <w:rsid w:val="001D62E4"/>
    <w:rsid w:val="002419B9"/>
    <w:rsid w:val="0025000A"/>
    <w:rsid w:val="002B32F4"/>
    <w:rsid w:val="002C4A96"/>
    <w:rsid w:val="002D5096"/>
    <w:rsid w:val="003137FE"/>
    <w:rsid w:val="00333113"/>
    <w:rsid w:val="003A50D3"/>
    <w:rsid w:val="0040111D"/>
    <w:rsid w:val="00472FC0"/>
    <w:rsid w:val="004730BF"/>
    <w:rsid w:val="0048348D"/>
    <w:rsid w:val="0048467C"/>
    <w:rsid w:val="004C526F"/>
    <w:rsid w:val="004E3B04"/>
    <w:rsid w:val="0057322E"/>
    <w:rsid w:val="005836D9"/>
    <w:rsid w:val="00586F3E"/>
    <w:rsid w:val="00631195"/>
    <w:rsid w:val="006A6935"/>
    <w:rsid w:val="006F47F5"/>
    <w:rsid w:val="0071431D"/>
    <w:rsid w:val="007413ED"/>
    <w:rsid w:val="0075305F"/>
    <w:rsid w:val="007D1268"/>
    <w:rsid w:val="00836018"/>
    <w:rsid w:val="00846C58"/>
    <w:rsid w:val="008F7B7A"/>
    <w:rsid w:val="00965CBE"/>
    <w:rsid w:val="009B0BA2"/>
    <w:rsid w:val="009B6010"/>
    <w:rsid w:val="009E58EC"/>
    <w:rsid w:val="009F044E"/>
    <w:rsid w:val="00A06DE4"/>
    <w:rsid w:val="00A44CA2"/>
    <w:rsid w:val="00A70ABB"/>
    <w:rsid w:val="00A844DD"/>
    <w:rsid w:val="00A94E35"/>
    <w:rsid w:val="00B31EBF"/>
    <w:rsid w:val="00B92B3F"/>
    <w:rsid w:val="00BC792A"/>
    <w:rsid w:val="00BD439B"/>
    <w:rsid w:val="00C01FC4"/>
    <w:rsid w:val="00C5530C"/>
    <w:rsid w:val="00CE1CD9"/>
    <w:rsid w:val="00CF53B6"/>
    <w:rsid w:val="00D43F69"/>
    <w:rsid w:val="00D84B86"/>
    <w:rsid w:val="00DB4AE9"/>
    <w:rsid w:val="00DE7E12"/>
    <w:rsid w:val="00E06BA7"/>
    <w:rsid w:val="00E27C4E"/>
    <w:rsid w:val="00E450B6"/>
    <w:rsid w:val="00EC32B2"/>
    <w:rsid w:val="00EE51B6"/>
    <w:rsid w:val="00F40974"/>
    <w:rsid w:val="00F47253"/>
    <w:rsid w:val="00F47B53"/>
    <w:rsid w:val="00F8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A844DD"/>
    <w:pPr>
      <w:keepLines w:val="0"/>
      <w:widowControl w:val="0"/>
      <w:autoSpaceDE w:val="0"/>
      <w:autoSpaceDN w:val="0"/>
      <w:spacing w:before="240" w:after="60" w:line="240" w:lineRule="auto"/>
      <w:jc w:val="both"/>
    </w:pPr>
    <w:rPr>
      <w:rFonts w:ascii="Times New Roman" w:eastAsia="Calibri" w:hAnsi="Times New Roman" w:cs="Times New Roman"/>
      <w:noProof/>
      <w:color w:val="auto"/>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846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69"/>
    <w:rPr>
      <w:rFonts w:ascii="Tahoma" w:eastAsia="Calibri" w:hAnsi="Tahoma" w:cs="Tahoma"/>
      <w:sz w:val="16"/>
      <w:szCs w:val="16"/>
      <w:lang w:val="en-US"/>
    </w:rPr>
  </w:style>
  <w:style w:type="character" w:customStyle="1" w:styleId="fontstyle01">
    <w:name w:val="fontstyle01"/>
    <w:basedOn w:val="DefaultParagraphFont"/>
    <w:rsid w:val="00D43F69"/>
    <w:rPr>
      <w:rFonts w:ascii="Times New Roman" w:hAnsi="Times New Roman" w:cs="Times New Roman" w:hint="default"/>
      <w:b/>
      <w:bCs/>
      <w:i/>
      <w:iC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0E8A-20F8-4903-B854-BC701B06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HoloPopeye@outlook.com</cp:lastModifiedBy>
  <cp:revision>52</cp:revision>
  <dcterms:created xsi:type="dcterms:W3CDTF">2020-06-27T03:35:00Z</dcterms:created>
  <dcterms:modified xsi:type="dcterms:W3CDTF">2020-07-04T02:25:00Z</dcterms:modified>
</cp:coreProperties>
</file>